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eastAsia="黑体"/>
          <w:snapToGrid w:val="0"/>
          <w:kern w:val="0"/>
          <w:sz w:val="36"/>
          <w:szCs w:val="28"/>
          <w:lang w:eastAsia="zh-CN"/>
        </w:rPr>
      </w:pPr>
      <w:r>
        <w:rPr>
          <w:rFonts w:hint="eastAsia" w:eastAsia="黑体"/>
          <w:snapToGrid w:val="0"/>
          <w:kern w:val="0"/>
          <w:sz w:val="36"/>
          <w:szCs w:val="28"/>
          <w:lang w:eastAsia="zh-CN"/>
        </w:rPr>
        <w:t>实验楼、环境楼、文旅楼外侧走廊加高采购询价</w:t>
      </w:r>
    </w:p>
    <w:p>
      <w:pPr>
        <w:adjustRightInd w:val="0"/>
        <w:snapToGrid w:val="0"/>
        <w:jc w:val="center"/>
        <w:rPr>
          <w:rFonts w:hint="default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编号：HYX2019014</w:t>
      </w:r>
    </w:p>
    <w:p>
      <w:pPr>
        <w:widowControl/>
        <w:spacing w:beforeAutospacing="1" w:afterAutospacing="1" w:line="360" w:lineRule="auto"/>
        <w:ind w:firstLine="600" w:firstLineChars="200"/>
        <w:jc w:val="left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江西环境工程职业学院(以下简称采购人)根据公开、公平、公正、诚信的原则,通过招标(院内询价)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方式确定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u w:val="single"/>
          <w:lang w:val="en-US" w:eastAsia="zh-CN"/>
        </w:rPr>
        <w:t>实验楼、环境楼、文旅楼外侧走廊加高采购询价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供应商，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现邀请符合相关条件的供应商前来投标。</w:t>
      </w:r>
      <w:r>
        <w:rPr>
          <w:rFonts w:hint="eastAsia" w:ascii="仿宋" w:hAnsi="仿宋" w:eastAsia="仿宋" w:cs="仿宋"/>
          <w:kern w:val="0"/>
          <w:sz w:val="30"/>
          <w:szCs w:val="30"/>
        </w:rPr>
        <w:t>欢迎符合资格要求的供应商根据本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 w:cs="仿宋"/>
          <w:kern w:val="0"/>
          <w:sz w:val="30"/>
          <w:szCs w:val="30"/>
        </w:rPr>
        <w:t>要求一次性报出不得更改的价格及服务承诺。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采购内容</w:t>
      </w: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eastAsia="zh-CN"/>
        </w:rPr>
        <w:t>及</w:t>
      </w: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val="en-US" w:eastAsia="zh-CN"/>
        </w:rPr>
        <w:t>预算价</w:t>
      </w:r>
    </w:p>
    <w:p>
      <w:pPr>
        <w:widowControl/>
        <w:spacing w:beforeAutospacing="1" w:afterAutospacing="1" w:line="360" w:lineRule="auto"/>
        <w:ind w:firstLine="600" w:firstLineChars="200"/>
        <w:jc w:val="left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u w:val="single"/>
          <w:lang w:val="en-US" w:eastAsia="zh-CN"/>
        </w:rPr>
        <w:t>实验楼、环境楼、文旅楼外侧走廊加高采购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，具体工程量清单见附件。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2" w:hanging="602" w:hanging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投标人参加本次采购活动应具备的资格条件要求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（一）具有独立承担民事责任的能力。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（二）具有相关营业资格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和履行合同所必需的设备与专业技术能力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（三）具有良好的商业信誉。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三、采购须知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（一）通过投标公司提交的报价表(含材料人工税收等的综合报价)，采购人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在满足资质要求的报价中根据同等质量下价格最低的原则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比选一家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签订采购合同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（二）服务地点：江西环境工程职业学院。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（三）报价文件格式及相关要求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报价文件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要求：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密封的纸质资料(复印件加盖投标公司公章)：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firstLine="900" w:firstLineChars="300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资质证明文件：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营业执照（有效经营范围内）副本复印件和税务登记证副本复印件，或统一社会信用代码营业执照（三证合一、五证合一）副本复印件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委托书及委托代理人身份证复印件并加盖公章。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（2）报价表(含材料人工税收等全部收费项目的综合报价)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（3）质保等其他服务项目承诺。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须进行整体报价，且为一次性报价，否则报价无效。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3.报价文件需单独密封。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4.报价人要按报价表的格式填写报价（包括但不限于货物报价、装箱、包装、送货和保险费用），除此之外，采购人无需再支付任何费用。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5.由于报价表填报不完整、不清楚或存在其它任何失误，所导致的任何不利后果均应当由投标人自行承担。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6.中标供应商在签订合同前需缴纳中标金额的3%作为履约保证金，工程竣工验收合格后，转为质保金，质保期满后无息退回。质保期一年，工期30日历天。</w:t>
      </w:r>
    </w:p>
    <w:p>
      <w:pPr>
        <w:pStyle w:val="4"/>
        <w:widowControl/>
        <w:spacing w:line="360" w:lineRule="auto"/>
        <w:ind w:left="150" w:right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四、报价文件的递交（密封报价）</w:t>
      </w:r>
    </w:p>
    <w:p>
      <w:pPr>
        <w:pStyle w:val="4"/>
        <w:widowControl/>
        <w:tabs>
          <w:tab w:val="left" w:pos="420"/>
          <w:tab w:val="left" w:pos="1155"/>
        </w:tabs>
        <w:spacing w:line="360" w:lineRule="auto"/>
        <w:ind w:right="150" w:firstLine="600" w:firstLineChars="200"/>
        <w:jc w:val="left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报价人将密封好的报价文件直接送至采购单位。密封报价文件须在密封处加盖公章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并携带相关资质证书原件及身份证原件、复印件备查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邮寄、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传真、电子邮件、电报、电话等方式递交的投标文件恕不接受。</w:t>
      </w:r>
    </w:p>
    <w:p>
      <w:pPr>
        <w:widowControl/>
        <w:spacing w:beforeLines="50" w:line="360" w:lineRule="auto"/>
        <w:ind w:left="15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五、报价时间及地点</w:t>
      </w:r>
    </w:p>
    <w:p>
      <w:pPr>
        <w:pStyle w:val="4"/>
        <w:widowControl/>
        <w:tabs>
          <w:tab w:val="left" w:pos="360"/>
          <w:tab w:val="left" w:pos="1155"/>
        </w:tabs>
        <w:spacing w:line="360" w:lineRule="auto"/>
        <w:ind w:left="964" w:leftChars="72" w:right="150" w:hanging="813" w:hangingChars="271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报名时间：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2020年1月2日—2020年1月6日，上午9:00—11:00，下午3:00—5:00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接受报价时间：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年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日，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上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0-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0（北京时间）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。逾期收到或不符合规定的报价文件将被拒绝。 </w:t>
      </w:r>
    </w:p>
    <w:p>
      <w:pPr>
        <w:pStyle w:val="4"/>
        <w:widowControl/>
        <w:tabs>
          <w:tab w:val="left" w:pos="360"/>
          <w:tab w:val="left" w:pos="1155"/>
        </w:tabs>
        <w:spacing w:line="360" w:lineRule="auto"/>
        <w:ind w:left="567" w:leftChars="270" w:right="150" w:firstLine="384" w:firstLineChars="128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询价开标时间：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年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日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 xml:space="preserve"> 上午11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</w:rPr>
        <w:t>0（北京时间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）。  </w:t>
      </w:r>
    </w:p>
    <w:p>
      <w:pPr>
        <w:pStyle w:val="4"/>
        <w:widowControl/>
        <w:tabs>
          <w:tab w:val="left" w:pos="360"/>
          <w:tab w:val="left" w:pos="1155"/>
        </w:tabs>
        <w:spacing w:line="360" w:lineRule="auto"/>
        <w:ind w:left="512" w:right="150" w:hanging="36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（二）报价递交地点：江西环境工程职业学院资产管理中心</w:t>
      </w:r>
    </w:p>
    <w:p>
      <w:pPr>
        <w:pStyle w:val="4"/>
        <w:widowControl/>
        <w:spacing w:line="360" w:lineRule="auto"/>
        <w:ind w:left="420" w:leftChars="20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地址：江西环境工程职业学院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307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办公室</w:t>
      </w:r>
    </w:p>
    <w:p>
      <w:pPr>
        <w:pStyle w:val="4"/>
        <w:widowControl/>
        <w:spacing w:line="360" w:lineRule="auto"/>
        <w:ind w:left="420" w:leftChars="200" w:right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邮编：341000</w:t>
      </w:r>
    </w:p>
    <w:p>
      <w:pPr>
        <w:pStyle w:val="4"/>
        <w:widowControl/>
        <w:spacing w:line="360" w:lineRule="auto"/>
        <w:ind w:left="420" w:leftChars="20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联系人：曾老师    电话:0797-8305708</w:t>
      </w:r>
    </w:p>
    <w:p>
      <w:pPr>
        <w:widowControl/>
        <w:spacing w:beforeLines="50" w:line="360" w:lineRule="auto"/>
        <w:ind w:left="15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六、评审原则</w:t>
      </w:r>
    </w:p>
    <w:p>
      <w:pPr>
        <w:pStyle w:val="4"/>
        <w:widowControl/>
        <w:spacing w:line="360" w:lineRule="auto"/>
        <w:ind w:left="150" w:right="150" w:firstLine="600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根据符合采购需求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质量和服务相等且报价最低的原则确定成交供应商。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301" w:firstLineChars="10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报价文件格式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资质证明文件：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营业执照（有效经营范围内）副本复印件和税务登记证副本复印件，或统一社会信用代码营业执照（三证合一、五证合一）副本复印件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委托书及委托代理人身份证复印件并加盖公章。自然人参加投标的，准备身份证原件及复印件签字并按手印。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报价表</w:t>
      </w:r>
    </w:p>
    <w:tbl>
      <w:tblPr>
        <w:tblStyle w:val="5"/>
        <w:tblW w:w="88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181"/>
        <w:gridCol w:w="2012"/>
        <w:gridCol w:w="1295"/>
        <w:gridCol w:w="1118"/>
        <w:gridCol w:w="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8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实验楼、环境楼及文旅楼外廊扶手加高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 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金额（元）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全费用综合单价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不锈钢栏杆</w:t>
            </w:r>
          </w:p>
        </w:tc>
        <w:tc>
          <w:tcPr>
            <w:tcW w:w="2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做法及尺寸详见附图</w:t>
            </w: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场地杂草清理</w:t>
            </w:r>
          </w:p>
        </w:tc>
        <w:tc>
          <w:tcPr>
            <w:tcW w:w="2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位置：信息楼东面及设计北楼东南角，详见附图</w:t>
            </w: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报价单位：          联系人：        联系电话：</w:t>
      </w:r>
    </w:p>
    <w:p>
      <w:pPr>
        <w:widowControl/>
        <w:spacing w:line="360" w:lineRule="auto"/>
        <w:ind w:left="150" w:right="150" w:firstLine="301" w:firstLineChars="10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报价须知：</w:t>
      </w:r>
    </w:p>
    <w:p>
      <w:pPr>
        <w:widowControl/>
        <w:numPr>
          <w:ilvl w:val="0"/>
          <w:numId w:val="6"/>
        </w:numPr>
        <w:spacing w:line="360" w:lineRule="auto"/>
        <w:ind w:leftChars="100" w:right="150" w:rightChars="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高于参考价的报价将视为无效报价。</w:t>
      </w:r>
    </w:p>
    <w:p>
      <w:pPr>
        <w:widowControl/>
        <w:numPr>
          <w:ilvl w:val="0"/>
          <w:numId w:val="6"/>
        </w:numPr>
        <w:spacing w:line="360" w:lineRule="auto"/>
        <w:ind w:leftChars="100" w:right="150" w:rightChars="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报价为包含货物运输并安装到采购人指定地点及税费的总价，除此之外采购人不另行支付费用。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（三）售后服务承诺书。（由报价人自行填写）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（四）报价人认为需要提供的其他资料。（由报价人自行填写）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eastAsia="zh-CN"/>
        </w:rPr>
        <w:t>八、图纸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25" DrawAspect="Icon" ObjectID="_1468075725" r:id="rId5">
            <o:LockedField>false</o:LockedField>
          </o:OLEObject>
        </w:object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3F933"/>
    <w:multiLevelType w:val="singleLevel"/>
    <w:tmpl w:val="9243F93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0DEF19"/>
    <w:multiLevelType w:val="singleLevel"/>
    <w:tmpl w:val="A60DEF1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399303D"/>
    <w:multiLevelType w:val="singleLevel"/>
    <w:tmpl w:val="B399303D"/>
    <w:lvl w:ilvl="0" w:tentative="0">
      <w:start w:val="1"/>
      <w:numFmt w:val="chineseCounting"/>
      <w:suff w:val="nothing"/>
      <w:lvlText w:val="（%1）"/>
      <w:lvlJc w:val="left"/>
      <w:pPr>
        <w:ind w:left="361" w:firstLine="0"/>
      </w:pPr>
      <w:rPr>
        <w:rFonts w:hint="eastAsia"/>
      </w:rPr>
    </w:lvl>
  </w:abstractNum>
  <w:abstractNum w:abstractNumId="3">
    <w:nsid w:val="DF6DBBD7"/>
    <w:multiLevelType w:val="singleLevel"/>
    <w:tmpl w:val="DF6DBB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26677E0"/>
    <w:multiLevelType w:val="singleLevel"/>
    <w:tmpl w:val="026677E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2D421330"/>
    <w:multiLevelType w:val="singleLevel"/>
    <w:tmpl w:val="2D4213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055E1"/>
    <w:rsid w:val="00196C52"/>
    <w:rsid w:val="003002CF"/>
    <w:rsid w:val="00344D46"/>
    <w:rsid w:val="00475A19"/>
    <w:rsid w:val="00610ED4"/>
    <w:rsid w:val="00803C79"/>
    <w:rsid w:val="009B322E"/>
    <w:rsid w:val="00A746E4"/>
    <w:rsid w:val="00AA2F4A"/>
    <w:rsid w:val="00B354A7"/>
    <w:rsid w:val="00B7587B"/>
    <w:rsid w:val="00BB0BF1"/>
    <w:rsid w:val="00CC16B7"/>
    <w:rsid w:val="00DF7647"/>
    <w:rsid w:val="00F64E6C"/>
    <w:rsid w:val="00FF3289"/>
    <w:rsid w:val="03033B2A"/>
    <w:rsid w:val="032A0023"/>
    <w:rsid w:val="05B56134"/>
    <w:rsid w:val="08FE56E0"/>
    <w:rsid w:val="09B429DC"/>
    <w:rsid w:val="0CA20BA2"/>
    <w:rsid w:val="0CAB68EB"/>
    <w:rsid w:val="0D2A0D25"/>
    <w:rsid w:val="0D6B41EC"/>
    <w:rsid w:val="0EFA2F8B"/>
    <w:rsid w:val="102B5008"/>
    <w:rsid w:val="11F71AF8"/>
    <w:rsid w:val="12A97BC9"/>
    <w:rsid w:val="15D40570"/>
    <w:rsid w:val="161540DF"/>
    <w:rsid w:val="171E197F"/>
    <w:rsid w:val="179C53CF"/>
    <w:rsid w:val="17F068DA"/>
    <w:rsid w:val="18596F13"/>
    <w:rsid w:val="1AEF3692"/>
    <w:rsid w:val="1BE106B2"/>
    <w:rsid w:val="1D0E18CD"/>
    <w:rsid w:val="1D83266F"/>
    <w:rsid w:val="1E09016E"/>
    <w:rsid w:val="1E935904"/>
    <w:rsid w:val="21413BC9"/>
    <w:rsid w:val="22A37413"/>
    <w:rsid w:val="233C2C9B"/>
    <w:rsid w:val="250E2A22"/>
    <w:rsid w:val="277C7AE1"/>
    <w:rsid w:val="28037ADF"/>
    <w:rsid w:val="2A7A60E8"/>
    <w:rsid w:val="2D303798"/>
    <w:rsid w:val="2DC917C6"/>
    <w:rsid w:val="2E130793"/>
    <w:rsid w:val="305C2470"/>
    <w:rsid w:val="30CD3856"/>
    <w:rsid w:val="321E44A5"/>
    <w:rsid w:val="37C36783"/>
    <w:rsid w:val="39E11519"/>
    <w:rsid w:val="3B046395"/>
    <w:rsid w:val="3EDD0E5E"/>
    <w:rsid w:val="3EF06970"/>
    <w:rsid w:val="43557EF2"/>
    <w:rsid w:val="45EF7157"/>
    <w:rsid w:val="4733775E"/>
    <w:rsid w:val="478C508F"/>
    <w:rsid w:val="49E51CF1"/>
    <w:rsid w:val="4A434A18"/>
    <w:rsid w:val="4A9B3496"/>
    <w:rsid w:val="4C7E5194"/>
    <w:rsid w:val="4D1F2DF5"/>
    <w:rsid w:val="4F430CF9"/>
    <w:rsid w:val="52A24ADE"/>
    <w:rsid w:val="58133D2E"/>
    <w:rsid w:val="594B54E2"/>
    <w:rsid w:val="5A611641"/>
    <w:rsid w:val="5C186116"/>
    <w:rsid w:val="5C4A210E"/>
    <w:rsid w:val="5CAF53B5"/>
    <w:rsid w:val="5FEE4300"/>
    <w:rsid w:val="628A1C6F"/>
    <w:rsid w:val="63724FBF"/>
    <w:rsid w:val="641E0C8D"/>
    <w:rsid w:val="65D055E1"/>
    <w:rsid w:val="66887AAD"/>
    <w:rsid w:val="686056F6"/>
    <w:rsid w:val="697A5933"/>
    <w:rsid w:val="6CAB34E9"/>
    <w:rsid w:val="6E337933"/>
    <w:rsid w:val="6F1D0736"/>
    <w:rsid w:val="71ED7F04"/>
    <w:rsid w:val="79067FD8"/>
    <w:rsid w:val="7CF54E9A"/>
    <w:rsid w:val="7D0D0547"/>
    <w:rsid w:val="7E3A3BE7"/>
    <w:rsid w:val="7EF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16377C"/>
      <w:u w:val="none"/>
    </w:rPr>
  </w:style>
  <w:style w:type="character" w:styleId="11">
    <w:name w:val="Hyperlink"/>
    <w:basedOn w:val="7"/>
    <w:qFormat/>
    <w:uiPriority w:val="0"/>
    <w:rPr>
      <w:color w:val="16377C"/>
      <w:u w:val="none"/>
    </w:rPr>
  </w:style>
  <w:style w:type="character" w:customStyle="1" w:styleId="12">
    <w:name w:val="displayarti"/>
    <w:basedOn w:val="7"/>
    <w:qFormat/>
    <w:uiPriority w:val="0"/>
    <w:rPr>
      <w:color w:val="FFFFFF"/>
      <w:shd w:val="clear" w:color="auto" w:fill="A00000"/>
    </w:rPr>
  </w:style>
  <w:style w:type="character" w:customStyle="1" w:styleId="13">
    <w:name w:val="gpa"/>
    <w:basedOn w:val="7"/>
    <w:qFormat/>
    <w:uiPriority w:val="0"/>
    <w:rPr>
      <w:rFonts w:ascii="Arial" w:hAnsi="Arial" w:cs="Arial"/>
      <w:sz w:val="15"/>
      <w:szCs w:val="15"/>
    </w:rPr>
  </w:style>
  <w:style w:type="character" w:customStyle="1" w:styleId="14">
    <w:name w:val="selected"/>
    <w:basedOn w:val="7"/>
    <w:qFormat/>
    <w:uiPriority w:val="0"/>
    <w:rPr>
      <w:shd w:val="clear" w:color="auto" w:fill="B00006"/>
    </w:rPr>
  </w:style>
  <w:style w:type="character" w:customStyle="1" w:styleId="15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9">
    <w:name w:val="font11"/>
    <w:basedOn w:val="7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0">
    <w:name w:val="font7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0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2">
    <w:name w:val="font9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1001</Words>
  <Characters>5708</Characters>
  <Lines>47</Lines>
  <Paragraphs>13</Paragraphs>
  <TotalTime>2</TotalTime>
  <ScaleCrop>false</ScaleCrop>
  <LinksUpToDate>false</LinksUpToDate>
  <CharactersWithSpaces>6696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2018-03-14T09:33:00Z</dcterms:created>
  <dc:creator>环境学院—曾杰</dc:creator>
  <cp:lastModifiedBy>86135</cp:lastModifiedBy>
  <cp:lastPrinted>2020-01-02T09:15:00Z</cp:lastPrinted>
  <dcterms:modified xsi:type="dcterms:W3CDTF">2020-01-03T02:53:01Z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