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黑体"/>
          <w:snapToGrid w:val="0"/>
          <w:kern w:val="0"/>
          <w:sz w:val="36"/>
          <w:szCs w:val="28"/>
          <w:lang w:eastAsia="zh-CN"/>
        </w:rPr>
      </w:pPr>
      <w:r>
        <w:rPr>
          <w:rFonts w:hint="eastAsia" w:eastAsia="黑体"/>
          <w:snapToGrid w:val="0"/>
          <w:kern w:val="0"/>
          <w:sz w:val="36"/>
          <w:szCs w:val="28"/>
          <w:lang w:val="en-US" w:eastAsia="zh-CN"/>
        </w:rPr>
        <w:t>两校区室内外体育器材的</w:t>
      </w:r>
      <w:r>
        <w:rPr>
          <w:rFonts w:hint="eastAsia" w:eastAsia="黑体"/>
          <w:snapToGrid w:val="0"/>
          <w:kern w:val="0"/>
          <w:sz w:val="36"/>
          <w:szCs w:val="28"/>
          <w:lang w:eastAsia="zh-CN"/>
        </w:rPr>
        <w:t>采购询价</w:t>
      </w:r>
    </w:p>
    <w:p>
      <w:pPr>
        <w:adjustRightInd w:val="0"/>
        <w:snapToGrid w:val="0"/>
        <w:jc w:val="center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编号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highlight w:val="none"/>
          <w:lang w:val="en-US" w:eastAsia="zh-CN"/>
        </w:rPr>
        <w:t>：HYX2021007</w:t>
      </w:r>
    </w:p>
    <w:p>
      <w:pPr>
        <w:widowControl/>
        <w:spacing w:beforeAutospacing="1" w:afterAutospacing="1" w:line="360" w:lineRule="auto"/>
        <w:ind w:firstLine="600" w:firstLineChars="200"/>
        <w:jc w:val="left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江西环境工程职业学院(以下简称采购人)根据公开、公平、公正、诚信的原则,通过招标(院内询价)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方式确定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u w:val="single"/>
          <w:lang w:val="en-US" w:eastAsia="zh-CN"/>
        </w:rPr>
        <w:t>两校区室内外体育器材采购询价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供应商，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现邀请符合相关条件的供应商前来投标。</w:t>
      </w:r>
      <w:r>
        <w:rPr>
          <w:rFonts w:hint="eastAsia" w:ascii="仿宋" w:hAnsi="仿宋" w:eastAsia="仿宋" w:cs="仿宋"/>
          <w:kern w:val="0"/>
          <w:sz w:val="30"/>
          <w:szCs w:val="30"/>
        </w:rPr>
        <w:t>欢迎符合资格要求的供应商根据本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kern w:val="0"/>
          <w:sz w:val="30"/>
          <w:szCs w:val="30"/>
        </w:rPr>
        <w:t>要求一次性报出不得更改的价格及服务承诺。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napToGrid w:val="0"/>
          <w:kern w:val="0"/>
          <w:sz w:val="30"/>
          <w:szCs w:val="30"/>
        </w:rPr>
        <w:t>采购内容</w:t>
      </w:r>
      <w:r>
        <w:rPr>
          <w:rFonts w:hint="eastAsia" w:ascii="仿宋" w:hAnsi="仿宋" w:eastAsia="仿宋" w:cs="仿宋"/>
          <w:b/>
          <w:snapToGrid w:val="0"/>
          <w:kern w:val="0"/>
          <w:sz w:val="30"/>
          <w:szCs w:val="30"/>
          <w:lang w:eastAsia="zh-CN"/>
        </w:rPr>
        <w:t>及</w:t>
      </w:r>
      <w:r>
        <w:rPr>
          <w:rFonts w:hint="eastAsia" w:ascii="仿宋" w:hAnsi="仿宋" w:eastAsia="仿宋" w:cs="仿宋"/>
          <w:b/>
          <w:snapToGrid w:val="0"/>
          <w:kern w:val="0"/>
          <w:sz w:val="30"/>
          <w:szCs w:val="30"/>
          <w:lang w:val="en-US" w:eastAsia="zh-CN"/>
        </w:rPr>
        <w:t>预算价</w:t>
      </w:r>
    </w:p>
    <w:p>
      <w:pPr>
        <w:widowControl/>
        <w:spacing w:beforeAutospacing="1" w:afterAutospacing="1" w:line="360" w:lineRule="auto"/>
        <w:ind w:firstLine="600" w:firstLineChars="200"/>
        <w:jc w:val="left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u w:val="single"/>
          <w:lang w:val="en-US" w:eastAsia="zh-CN"/>
        </w:rPr>
        <w:t>两校区室内外体育器材采购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，具体采购量清单见报价表。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482" w:hanging="602" w:hanging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napToGrid w:val="0"/>
          <w:kern w:val="0"/>
          <w:sz w:val="30"/>
          <w:szCs w:val="30"/>
        </w:rPr>
        <w:t>投标人参加本次采购活动应具备的资格条件要求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（一）具有独立承担民事责任的能力。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（二）具有相关营业资格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和履行合同所必需的设备与专业技术能力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（三）具有良好的商业信誉。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napToGrid w:val="0"/>
          <w:kern w:val="0"/>
          <w:sz w:val="30"/>
          <w:szCs w:val="30"/>
        </w:rPr>
        <w:t>三、采购须知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（一）通过投标公司提交的报价表(含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货物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人工税收等的综合报价)，采购人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在满足资质要求的报价中根据同等质量下价格最低的原则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比选一家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供应商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签订采购合同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（二）服务地点：江西环境工程职业学院。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（三）报价文件格式及相关要求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报价文件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要求：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密封的纸质资料(复印件加盖投标公司公章)：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900" w:firstLineChars="300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资质证明文件：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统一社会信用代码营业执照（三证合一、五证合一）副本复印件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委托书及委托代理人身份证复印件并加盖公章。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（2）报价表(含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货物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人工税收等全部收费项目的综合报价)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（3）质保等其他服务项目承诺。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须进行整体报价，且为一次性报价，否则报价无效。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3.报价文件需单独密封。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4.报价人要按报价表的格式填写报价（包括但不限于货物报价、装箱、包装、送货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安装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和保险费用），除此之外，采购人无需再支付任何费用。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5.由于报价表填报不完整、不清楚或存在其它任何失误，所导致的任何不利后果均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highlight w:val="none"/>
        </w:rPr>
        <w:t>应当由投标人自行承担。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default" w:ascii="仿宋" w:hAnsi="仿宋" w:eastAsia="仿宋" w:cs="仿宋"/>
          <w:bCs/>
          <w:snapToGrid w:val="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highlight w:val="none"/>
          <w:lang w:val="en-US" w:eastAsia="zh-CN"/>
        </w:rPr>
        <w:t>6.交货日期：中标后25个工作日</w:t>
      </w:r>
    </w:p>
    <w:p>
      <w:pPr>
        <w:adjustRightInd w:val="0"/>
        <w:snapToGrid w:val="0"/>
        <w:spacing w:line="360" w:lineRule="auto"/>
        <w:ind w:firstLine="900" w:firstLineChars="300"/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highlight w:val="none"/>
          <w:lang w:val="en-US" w:eastAsia="zh-CN"/>
        </w:rPr>
        <w:t>6.中标供应商在签订合同前需缴纳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中标金额的5%作为履约保证金，货物安装验收合格后，转为质保金，质保期满后无息退回。质保期一年，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货物安装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验收合格之日起计算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。</w:t>
      </w:r>
    </w:p>
    <w:p>
      <w:pPr>
        <w:pStyle w:val="3"/>
        <w:widowControl/>
        <w:spacing w:line="360" w:lineRule="auto"/>
        <w:ind w:left="150" w:right="15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四、报价文件的递交（密封报价）</w:t>
      </w:r>
    </w:p>
    <w:p>
      <w:pPr>
        <w:pStyle w:val="3"/>
        <w:widowControl/>
        <w:tabs>
          <w:tab w:val="left" w:pos="420"/>
          <w:tab w:val="left" w:pos="1155"/>
        </w:tabs>
        <w:spacing w:line="360" w:lineRule="auto"/>
        <w:ind w:right="150" w:firstLine="600" w:firstLineChars="200"/>
        <w:jc w:val="left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报价人将密封好的报价文件直接送至采购单位。密封报价文件须在密封处加盖公章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并携带相关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资质证书原件及身份证原件、复印件备查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邮寄、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传真、电子邮件、电报、电话等方式递交的投标文件恕不接受。</w:t>
      </w:r>
    </w:p>
    <w:p>
      <w:pPr>
        <w:widowControl/>
        <w:spacing w:beforeLines="50" w:line="360" w:lineRule="auto"/>
        <w:ind w:left="150" w:right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五、报价时间及地点</w:t>
      </w:r>
    </w:p>
    <w:p>
      <w:pPr>
        <w:pStyle w:val="3"/>
        <w:widowControl/>
        <w:tabs>
          <w:tab w:val="left" w:pos="360"/>
          <w:tab w:val="left" w:pos="1155"/>
        </w:tabs>
        <w:spacing w:line="360" w:lineRule="auto"/>
        <w:ind w:left="964" w:leftChars="72" w:right="150" w:hanging="813" w:hangingChars="271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报名时间：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2021年11月19日—2020年11月25日，上午9:00—11:00，下午3:00—5:00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接受报价时间：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日，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午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0-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u w:val="single"/>
        </w:rPr>
        <w:t>0（北京时间）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逾期收到或不符合规定的报价文件将被拒绝。 </w:t>
      </w:r>
    </w:p>
    <w:p>
      <w:pPr>
        <w:pStyle w:val="3"/>
        <w:widowControl/>
        <w:tabs>
          <w:tab w:val="left" w:pos="360"/>
          <w:tab w:val="left" w:pos="1155"/>
        </w:tabs>
        <w:spacing w:line="360" w:lineRule="auto"/>
        <w:ind w:left="567" w:leftChars="270" w:right="150" w:firstLine="384" w:firstLineChars="12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询价开标时间：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>20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u w:val="single"/>
        </w:rPr>
        <w:t>日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 xml:space="preserve"> 上午11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>: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</w:rPr>
        <w:t>0（北京时间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）。  </w:t>
      </w:r>
    </w:p>
    <w:p>
      <w:pPr>
        <w:pStyle w:val="3"/>
        <w:widowControl/>
        <w:tabs>
          <w:tab w:val="left" w:pos="360"/>
          <w:tab w:val="left" w:pos="1155"/>
        </w:tabs>
        <w:spacing w:line="360" w:lineRule="auto"/>
        <w:ind w:left="512" w:right="150" w:hanging="36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（二）报价递交地点：江西环境工程职业学院资产管理中心</w:t>
      </w:r>
    </w:p>
    <w:p>
      <w:pPr>
        <w:pStyle w:val="3"/>
        <w:widowControl/>
        <w:spacing w:line="360" w:lineRule="auto"/>
        <w:ind w:left="420" w:leftChars="200" w:right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地址：江西环境工程职业学院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栋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办公室</w:t>
      </w:r>
    </w:p>
    <w:p>
      <w:pPr>
        <w:pStyle w:val="3"/>
        <w:widowControl/>
        <w:spacing w:line="360" w:lineRule="auto"/>
        <w:ind w:left="420" w:leftChars="200" w:right="15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邮编：341000</w:t>
      </w:r>
    </w:p>
    <w:p>
      <w:pPr>
        <w:pStyle w:val="3"/>
        <w:widowControl/>
        <w:spacing w:line="360" w:lineRule="auto"/>
        <w:ind w:left="420" w:leftChars="200" w:right="15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老师    电话: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0797-8305708</w:t>
      </w:r>
    </w:p>
    <w:p>
      <w:pPr>
        <w:widowControl/>
        <w:spacing w:beforeLines="50" w:line="360" w:lineRule="auto"/>
        <w:ind w:left="150" w:right="15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六、评审原则</w:t>
      </w:r>
    </w:p>
    <w:p>
      <w:pPr>
        <w:pStyle w:val="3"/>
        <w:widowControl/>
        <w:spacing w:line="360" w:lineRule="auto"/>
        <w:ind w:left="150" w:right="150"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根据符合采购需求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质量和服务相等且报价最低的原则确定成交供应商。</w:t>
      </w:r>
    </w:p>
    <w:p>
      <w:pPr>
        <w:pStyle w:val="3"/>
        <w:widowControl/>
        <w:spacing w:line="360" w:lineRule="auto"/>
        <w:ind w:left="150" w:right="150"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301" w:firstLineChars="100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报价文件格式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val="en-US" w:eastAsia="zh-CN"/>
        </w:rPr>
        <w:t>资质证明文件：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</w:rPr>
        <w:t>统一社会信用代码营业执照（三证合一、五证合一）副本复印件</w:t>
      </w:r>
      <w:r>
        <w:rPr>
          <w:rFonts w:hint="eastAsia" w:ascii="仿宋" w:hAnsi="仿宋" w:eastAsia="仿宋" w:cs="仿宋"/>
          <w:bCs/>
          <w:snapToGrid w:val="0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委托书及委托代理人身份证复印件并加盖公章。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30"/>
        <w:gridCol w:w="2680"/>
        <w:gridCol w:w="999"/>
        <w:gridCol w:w="951"/>
        <w:gridCol w:w="90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30"/>
                <w:szCs w:val="30"/>
              </w:rPr>
              <w:t>江西环境工程职业学院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/>
              </w:rPr>
              <w:t>红旗校区采购体育器材报价表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篮球架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方管篮球架：主杆采用优质首都方钢，直径180㎜壁厚2.76㎜，伸臂100×150㎜壁厚2.76㎜，长1.8m，配有铝合金包边厚1㎝，高强度钢化玻璃篮板，预埋结构钢筋龙骨预埋件与主架丝扣连接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含预埋、安装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乒乓球桌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台长：2740mm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台宽：1525mm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台高：760mm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带轮单折式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70*32*35CM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铁分体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7.8加厚拍框 三层拍包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56*36*37cm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直拍正反胶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两支装带三球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跳绳单绳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珠光绳耐用计数跳绳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57*33*49.5cm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材质：海绵+PVC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绳长2.8m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飞镖盘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17英寸/铝包边/吸塑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镖针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毽子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鹅毛+橡胶底+牛皮纸/塑料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5号耐用排球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仿超纤维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有光玻璃棋子，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直径1.7cm/厚0.6cm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棋盘尺寸48*48cm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4.5/纸盒/天然原木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五子棋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3c/大号/磁石/塑连棋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篮球场悬浮地板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材质:PP材料。规格: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30.48cm*30.48cm*1.2cm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AHD双层悬浮地板升级版磨砂面颜色:按客户要求提供用途:多功能运动地板           重量：260g ±5% 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430平方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羽毛球场悬浮地板</w:t>
            </w: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材质:PP材料。规格: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30.48cm*30.48cm*1.2cm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AHD双层悬浮地板升级版磨砂面颜色:按客户要求提供用途:多功能运动地板           重量：260g ±5% 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92.76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170平方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86516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7"/>
        <w:gridCol w:w="1096"/>
        <w:gridCol w:w="757"/>
        <w:gridCol w:w="838"/>
        <w:gridCol w:w="966"/>
        <w:gridCol w:w="757"/>
        <w:gridCol w:w="1757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</w:rPr>
              <w:t>江西环境工程职业学院</w:t>
            </w:r>
            <w:r>
              <w:rPr>
                <w:rFonts w:hint="eastAsia" w:ascii="仿宋" w:hAnsi="仿宋" w:eastAsia="仿宋" w:cs="仿宋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本部/红旗校区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校内室外健身器材报价表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数量\台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单价\元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387350</wp:posOffset>
                  </wp:positionV>
                  <wp:extent cx="581660" cy="819150"/>
                  <wp:effectExtent l="0" t="0" r="8890" b="0"/>
                  <wp:wrapNone/>
                  <wp:docPr id="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合计\元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LJ6010GB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2860*120*2320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田径场、红旗校区各一个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双杠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LJ6020GC 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3006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95250</wp:posOffset>
                  </wp:positionV>
                  <wp:extent cx="809625" cy="762000"/>
                  <wp:effectExtent l="0" t="0" r="9525" b="0"/>
                  <wp:wrapNone/>
                  <wp:docPr id="10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2500*764*1300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田径场、红旗校区各一个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肋木架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LJ6025GD 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884555</wp:posOffset>
                  </wp:positionV>
                  <wp:extent cx="562610" cy="438150"/>
                  <wp:effectExtent l="0" t="0" r="8890" b="0"/>
                  <wp:wrapNone/>
                  <wp:docPr id="12" name="Picture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0</wp:posOffset>
                  </wp:positionV>
                  <wp:extent cx="410210" cy="876300"/>
                  <wp:effectExtent l="0" t="0" r="8890" b="0"/>
                  <wp:wrapNone/>
                  <wp:docPr id="11" name="Picture_5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524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1250*122*2510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田径场、红旗校区各一个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天梯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LJ6091GC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7083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3120*1274*1980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划船器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LJ5355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-93345</wp:posOffset>
                  </wp:positionV>
                  <wp:extent cx="568325" cy="506095"/>
                  <wp:effectExtent l="0" t="0" r="3175" b="8255"/>
                  <wp:wrapNone/>
                  <wp:docPr id="1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1242*828*998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  <w:t>27101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/>
        </w:rPr>
        <w:t>报价单位：          联系人：        联系电话：</w:t>
      </w:r>
    </w:p>
    <w:p>
      <w:pPr>
        <w:widowControl/>
        <w:spacing w:line="360" w:lineRule="auto"/>
        <w:ind w:left="150" w:right="150" w:firstLine="301" w:firstLineChars="10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报价须知：</w:t>
      </w:r>
    </w:p>
    <w:p>
      <w:pPr>
        <w:widowControl/>
        <w:numPr>
          <w:ilvl w:val="0"/>
          <w:numId w:val="6"/>
        </w:numPr>
        <w:spacing w:line="360" w:lineRule="auto"/>
        <w:ind w:leftChars="100" w:right="150" w:rightChars="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高于参考价的报价将视为无效报价。</w:t>
      </w:r>
    </w:p>
    <w:p>
      <w:pPr>
        <w:widowControl/>
        <w:numPr>
          <w:ilvl w:val="0"/>
          <w:numId w:val="6"/>
        </w:numPr>
        <w:spacing w:line="360" w:lineRule="auto"/>
        <w:ind w:leftChars="100" w:right="150" w:rightChars="0"/>
        <w:jc w:val="left"/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0"/>
          <w:szCs w:val="30"/>
          <w:lang w:val="en-US" w:eastAsia="zh-CN"/>
        </w:rPr>
        <w:t>报价为包含货物运输并安装到采购人指定地点及税费的总价，除此之外采购人不另行支付费用。</w:t>
      </w:r>
    </w:p>
    <w:p>
      <w:pPr>
        <w:widowControl/>
        <w:spacing w:line="360" w:lineRule="auto"/>
        <w:ind w:left="150" w:right="150" w:firstLine="300" w:firstLineChars="100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（三）售后服务承诺书。（由报价人自行填写）</w:t>
      </w:r>
    </w:p>
    <w:p>
      <w:pPr>
        <w:widowControl/>
        <w:spacing w:line="360" w:lineRule="auto"/>
        <w:ind w:left="150" w:right="150" w:firstLine="300" w:firstLineChars="100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（四）报价人认为需要提供的其他资料。（由报价人自行填写）</w:t>
      </w:r>
    </w:p>
    <w:p>
      <w:pPr>
        <w:widowControl/>
        <w:spacing w:line="360" w:lineRule="auto"/>
        <w:ind w:left="150" w:right="150" w:firstLine="300" w:firstLineChars="100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3F933"/>
    <w:multiLevelType w:val="singleLevel"/>
    <w:tmpl w:val="9243F93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60DEF19"/>
    <w:multiLevelType w:val="singleLevel"/>
    <w:tmpl w:val="A60DEF1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399303D"/>
    <w:multiLevelType w:val="singleLevel"/>
    <w:tmpl w:val="B399303D"/>
    <w:lvl w:ilvl="0" w:tentative="0">
      <w:start w:val="1"/>
      <w:numFmt w:val="chineseCounting"/>
      <w:suff w:val="nothing"/>
      <w:lvlText w:val="（%1）"/>
      <w:lvlJc w:val="left"/>
      <w:pPr>
        <w:ind w:left="361" w:firstLine="0"/>
      </w:pPr>
      <w:rPr>
        <w:rFonts w:hint="eastAsia"/>
      </w:rPr>
    </w:lvl>
  </w:abstractNum>
  <w:abstractNum w:abstractNumId="3">
    <w:nsid w:val="DF6DBBD7"/>
    <w:multiLevelType w:val="singleLevel"/>
    <w:tmpl w:val="DF6DBB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26677E0"/>
    <w:multiLevelType w:val="singleLevel"/>
    <w:tmpl w:val="026677E0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2D421330"/>
    <w:multiLevelType w:val="singleLevel"/>
    <w:tmpl w:val="2D4213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30E2"/>
    <w:rsid w:val="050441B3"/>
    <w:rsid w:val="25AB09D2"/>
    <w:rsid w:val="30CC2A5C"/>
    <w:rsid w:val="338E11A7"/>
    <w:rsid w:val="5D3C30E2"/>
    <w:rsid w:val="759252C5"/>
    <w:rsid w:val="770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2021-11-15T07:16:00Z</dcterms:created>
  <dc:creator>郭文俊</dc:creator>
  <cp:lastModifiedBy>郭文俊</cp:lastModifiedBy>
  <cp:lastPrinted>2021-11-18T02:20:00Z</cp:lastPrinted>
  <dcterms:modified xsi:type="dcterms:W3CDTF">2021-11-18T08:00:04Z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96B2A23C212B4D13886BC6E859A1E2BE</vt:lpwstr>
  </property>
</Properties>
</file>